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20BC2" w14:textId="77777777" w:rsidR="008E7CE3" w:rsidRPr="008E7CE3" w:rsidRDefault="008E7CE3" w:rsidP="0021015E">
      <w:pPr>
        <w:pStyle w:val="a3"/>
        <w:shd w:val="clear" w:color="auto" w:fill="FFFFFF"/>
        <w:spacing w:before="120" w:beforeAutospacing="0" w:after="120" w:afterAutospacing="0"/>
        <w:jc w:val="both"/>
        <w:rPr>
          <w:color w:val="1F1F21"/>
          <w:sz w:val="22"/>
          <w:szCs w:val="22"/>
        </w:rPr>
      </w:pPr>
    </w:p>
    <w:p w14:paraId="095FD0B0" w14:textId="77777777" w:rsidR="008E7CE3" w:rsidRPr="000061B9" w:rsidRDefault="008E7CE3" w:rsidP="0021015E">
      <w:pPr>
        <w:pStyle w:val="a3"/>
        <w:shd w:val="clear" w:color="auto" w:fill="FFFFFF"/>
        <w:spacing w:before="120" w:beforeAutospacing="0" w:after="120" w:afterAutospacing="0"/>
        <w:contextualSpacing/>
        <w:jc w:val="both"/>
        <w:rPr>
          <w:b/>
          <w:color w:val="1F1F21"/>
        </w:rPr>
      </w:pPr>
      <w:r w:rsidRPr="000061B9">
        <w:rPr>
          <w:b/>
          <w:color w:val="1F1F21"/>
        </w:rPr>
        <w:t>Уважаемые клиенты!</w:t>
      </w:r>
    </w:p>
    <w:p w14:paraId="0895004B" w14:textId="77777777" w:rsidR="008E7CE3" w:rsidRPr="000061B9" w:rsidRDefault="008E7CE3" w:rsidP="0021015E">
      <w:pPr>
        <w:pStyle w:val="a3"/>
        <w:shd w:val="clear" w:color="auto" w:fill="FFFFFF"/>
        <w:spacing w:before="120" w:beforeAutospacing="0" w:after="120" w:afterAutospacing="0"/>
        <w:contextualSpacing/>
        <w:jc w:val="both"/>
        <w:rPr>
          <w:b/>
          <w:color w:val="1F1F21"/>
        </w:rPr>
      </w:pPr>
    </w:p>
    <w:p w14:paraId="2B49FFB6" w14:textId="076DB235" w:rsidR="008E7CE3" w:rsidRPr="000061B9" w:rsidRDefault="008E7CE3" w:rsidP="0021015E">
      <w:pPr>
        <w:pStyle w:val="a3"/>
        <w:shd w:val="clear" w:color="auto" w:fill="FFFFFF"/>
        <w:spacing w:before="120" w:beforeAutospacing="0" w:after="120" w:afterAutospacing="0"/>
        <w:contextualSpacing/>
        <w:jc w:val="both"/>
        <w:rPr>
          <w:b/>
          <w:color w:val="1F1F21"/>
        </w:rPr>
      </w:pPr>
      <w:r w:rsidRPr="000061B9">
        <w:rPr>
          <w:b/>
          <w:color w:val="1F1F21"/>
        </w:rPr>
        <w:t xml:space="preserve">Уведомляем вас об утверждении </w:t>
      </w:r>
      <w:r w:rsidR="00E64CA9">
        <w:rPr>
          <w:b/>
          <w:color w:val="1F1F21"/>
        </w:rPr>
        <w:t>14</w:t>
      </w:r>
      <w:r w:rsidRPr="000061B9">
        <w:rPr>
          <w:b/>
          <w:color w:val="1F1F21"/>
        </w:rPr>
        <w:t xml:space="preserve"> </w:t>
      </w:r>
      <w:r w:rsidR="00E64CA9">
        <w:rPr>
          <w:b/>
          <w:color w:val="1F1F21"/>
        </w:rPr>
        <w:t>ноября</w:t>
      </w:r>
      <w:r w:rsidRPr="000061B9">
        <w:rPr>
          <w:b/>
          <w:color w:val="1F1F21"/>
        </w:rPr>
        <w:t xml:space="preserve"> 202</w:t>
      </w:r>
      <w:r w:rsidR="00CB4B13" w:rsidRPr="000061B9">
        <w:rPr>
          <w:b/>
          <w:color w:val="1F1F21"/>
        </w:rPr>
        <w:t>5</w:t>
      </w:r>
      <w:r w:rsidRPr="000061B9">
        <w:rPr>
          <w:b/>
          <w:color w:val="1F1F21"/>
        </w:rPr>
        <w:t xml:space="preserve"> года новых редакций документов АО ИК "Вектор Капитал", вступающих в действие с </w:t>
      </w:r>
      <w:r w:rsidR="00E64CA9">
        <w:rPr>
          <w:b/>
          <w:color w:val="1F1F21"/>
        </w:rPr>
        <w:t>01</w:t>
      </w:r>
      <w:r w:rsidR="000116E7">
        <w:rPr>
          <w:b/>
          <w:color w:val="1F1F21"/>
        </w:rPr>
        <w:t xml:space="preserve"> </w:t>
      </w:r>
      <w:r w:rsidR="00E64CA9">
        <w:rPr>
          <w:b/>
          <w:color w:val="1F1F21"/>
        </w:rPr>
        <w:t>декабря</w:t>
      </w:r>
      <w:r w:rsidRPr="000061B9">
        <w:rPr>
          <w:b/>
          <w:color w:val="1F1F21"/>
        </w:rPr>
        <w:t xml:space="preserve"> 202</w:t>
      </w:r>
      <w:r w:rsidR="00B84E7C">
        <w:rPr>
          <w:b/>
          <w:color w:val="1F1F21"/>
        </w:rPr>
        <w:t>5</w:t>
      </w:r>
      <w:r w:rsidRPr="000061B9">
        <w:rPr>
          <w:b/>
          <w:color w:val="1F1F21"/>
        </w:rPr>
        <w:t xml:space="preserve"> года.</w:t>
      </w:r>
    </w:p>
    <w:p w14:paraId="405AA527" w14:textId="77777777" w:rsidR="008E7CE3" w:rsidRPr="000061B9" w:rsidRDefault="008E7CE3" w:rsidP="0021015E">
      <w:pPr>
        <w:pStyle w:val="a3"/>
        <w:shd w:val="clear" w:color="auto" w:fill="FFFFFF"/>
        <w:spacing w:before="120" w:beforeAutospacing="0" w:after="120" w:afterAutospacing="0"/>
        <w:contextualSpacing/>
        <w:jc w:val="both"/>
        <w:rPr>
          <w:color w:val="1F1F21"/>
        </w:rPr>
      </w:pPr>
      <w:bookmarkStart w:id="0" w:name="_GoBack"/>
      <w:bookmarkEnd w:id="0"/>
    </w:p>
    <w:p w14:paraId="200F440B" w14:textId="707EA0C2" w:rsidR="008E7CE3" w:rsidRPr="000061B9" w:rsidRDefault="008E7CE3" w:rsidP="0021015E">
      <w:pPr>
        <w:pStyle w:val="a3"/>
        <w:shd w:val="clear" w:color="auto" w:fill="FFFFFF"/>
        <w:spacing w:before="120" w:beforeAutospacing="0" w:after="120" w:afterAutospacing="0"/>
        <w:contextualSpacing/>
        <w:jc w:val="both"/>
        <w:rPr>
          <w:color w:val="1F1F21"/>
        </w:rPr>
      </w:pPr>
      <w:r w:rsidRPr="000061B9">
        <w:rPr>
          <w:color w:val="1F1F21"/>
        </w:rPr>
        <w:t>С документами в новой редакции можно ознакомится по следующим ссылкам:</w:t>
      </w:r>
    </w:p>
    <w:p w14:paraId="44EA1947" w14:textId="77777777" w:rsidR="008E7CE3" w:rsidRPr="000061B9" w:rsidRDefault="008E7CE3" w:rsidP="0021015E">
      <w:pPr>
        <w:pStyle w:val="a3"/>
        <w:shd w:val="clear" w:color="auto" w:fill="FFFFFF"/>
        <w:spacing w:before="120" w:beforeAutospacing="0" w:after="120" w:afterAutospacing="0"/>
        <w:contextualSpacing/>
        <w:jc w:val="both"/>
        <w:rPr>
          <w:color w:val="1F1F21"/>
        </w:rPr>
      </w:pPr>
    </w:p>
    <w:p w14:paraId="4252C35A" w14:textId="77777777" w:rsidR="00872444" w:rsidRDefault="00872444" w:rsidP="0021015E">
      <w:pPr>
        <w:pStyle w:val="a3"/>
        <w:shd w:val="clear" w:color="auto" w:fill="FFFFFF"/>
        <w:spacing w:before="120" w:beforeAutospacing="0" w:after="120" w:afterAutospacing="0"/>
        <w:contextualSpacing/>
        <w:jc w:val="both"/>
        <w:rPr>
          <w:color w:val="000000"/>
        </w:rPr>
      </w:pPr>
    </w:p>
    <w:p w14:paraId="54AF97F3" w14:textId="7C1D3BFE" w:rsidR="00872444" w:rsidRDefault="00872444" w:rsidP="0021015E">
      <w:pPr>
        <w:pStyle w:val="a3"/>
        <w:shd w:val="clear" w:color="auto" w:fill="FFFFFF"/>
        <w:spacing w:before="120" w:beforeAutospacing="0" w:after="120" w:afterAutospacing="0"/>
        <w:contextualSpacing/>
        <w:jc w:val="both"/>
        <w:rPr>
          <w:b/>
          <w:color w:val="1F1F21"/>
          <w:u w:val="single"/>
        </w:rPr>
      </w:pPr>
      <w:r w:rsidRPr="00872444">
        <w:rPr>
          <w:b/>
          <w:color w:val="1F1F21"/>
          <w:u w:val="single"/>
        </w:rPr>
        <w:t>ДЕПОЗИТАРНОЕ ОБСЛУЖИВАНИЕ</w:t>
      </w:r>
    </w:p>
    <w:p w14:paraId="0893797C" w14:textId="55D83B5C" w:rsidR="00872444" w:rsidRDefault="00872444" w:rsidP="0021015E">
      <w:pPr>
        <w:pStyle w:val="a3"/>
        <w:shd w:val="clear" w:color="auto" w:fill="FFFFFF"/>
        <w:spacing w:before="120" w:beforeAutospacing="0" w:after="120" w:afterAutospacing="0"/>
        <w:contextualSpacing/>
        <w:jc w:val="both"/>
        <w:rPr>
          <w:b/>
          <w:color w:val="1F1F21"/>
          <w:u w:val="single"/>
        </w:rPr>
      </w:pPr>
    </w:p>
    <w:tbl>
      <w:tblPr>
        <w:tblStyle w:val="a7"/>
        <w:tblW w:w="0" w:type="auto"/>
        <w:tblLook w:val="04A0" w:firstRow="1" w:lastRow="0" w:firstColumn="1" w:lastColumn="0" w:noHBand="0" w:noVBand="1"/>
      </w:tblPr>
      <w:tblGrid>
        <w:gridCol w:w="4672"/>
        <w:gridCol w:w="4673"/>
      </w:tblGrid>
      <w:tr w:rsidR="00E64CA9" w:rsidRPr="00E64CA9" w14:paraId="13459602" w14:textId="77777777" w:rsidTr="005A2390">
        <w:tc>
          <w:tcPr>
            <w:tcW w:w="4672" w:type="dxa"/>
          </w:tcPr>
          <w:p w14:paraId="56B06D47" w14:textId="77777777" w:rsidR="00E64CA9" w:rsidRPr="00E64CA9" w:rsidRDefault="00E64CA9" w:rsidP="00E64CA9">
            <w:pPr>
              <w:rPr>
                <w:rFonts w:ascii="Times New Roman" w:hAnsi="Times New Roman" w:cs="Times New Roman"/>
                <w:sz w:val="20"/>
              </w:rPr>
            </w:pPr>
            <w:r w:rsidRPr="00E64CA9">
              <w:rPr>
                <w:rFonts w:ascii="Times New Roman" w:hAnsi="Times New Roman" w:cs="Times New Roman"/>
                <w:sz w:val="20"/>
              </w:rPr>
              <w:t>Было п. 7.3.2</w:t>
            </w:r>
          </w:p>
        </w:tc>
        <w:tc>
          <w:tcPr>
            <w:tcW w:w="4673" w:type="dxa"/>
          </w:tcPr>
          <w:p w14:paraId="495D16EE" w14:textId="77777777" w:rsidR="00E64CA9" w:rsidRPr="00E64CA9" w:rsidRDefault="00E64CA9" w:rsidP="00E64CA9">
            <w:pPr>
              <w:rPr>
                <w:rFonts w:ascii="Times New Roman" w:hAnsi="Times New Roman" w:cs="Times New Roman"/>
                <w:sz w:val="20"/>
              </w:rPr>
            </w:pPr>
            <w:r w:rsidRPr="00E64CA9">
              <w:rPr>
                <w:rFonts w:ascii="Times New Roman" w:hAnsi="Times New Roman" w:cs="Times New Roman"/>
                <w:sz w:val="20"/>
              </w:rPr>
              <w:t>Стало п.7.3.2</w:t>
            </w:r>
          </w:p>
        </w:tc>
      </w:tr>
      <w:tr w:rsidR="00E64CA9" w:rsidRPr="00E64CA9" w14:paraId="2848A616" w14:textId="77777777" w:rsidTr="005A2390">
        <w:tc>
          <w:tcPr>
            <w:tcW w:w="4672" w:type="dxa"/>
          </w:tcPr>
          <w:p w14:paraId="6F9893A1" w14:textId="77777777" w:rsidR="00E64CA9" w:rsidRPr="00E64CA9" w:rsidRDefault="00E64CA9" w:rsidP="00E64CA9">
            <w:pPr>
              <w:ind w:right="49" w:firstLine="557"/>
              <w:rPr>
                <w:rFonts w:ascii="Times New Roman" w:hAnsi="Times New Roman" w:cs="Times New Roman"/>
                <w:sz w:val="20"/>
              </w:rPr>
            </w:pPr>
            <w:r w:rsidRPr="00E64CA9">
              <w:rPr>
                <w:rFonts w:ascii="Times New Roman" w:hAnsi="Times New Roman" w:cs="Times New Roman"/>
                <w:sz w:val="20"/>
              </w:rPr>
              <w:t>Депозитарий, совмещающий депозитарную и брокерскую деятельность, помимо иных документов в соответствии с настоящим Клиентским регламентом, использует в качестве основания для исполнения депозитарных операций условное поручение Депонента на осуществление операций по счетам депо при заключении Депонентом брокерского договора (далее – Условное поручение).</w:t>
            </w:r>
          </w:p>
          <w:p w14:paraId="4B647D93" w14:textId="77777777" w:rsidR="00E64CA9" w:rsidRPr="00E64CA9" w:rsidRDefault="00E64CA9" w:rsidP="00E64CA9">
            <w:pPr>
              <w:ind w:right="49" w:firstLine="557"/>
              <w:rPr>
                <w:rFonts w:ascii="Times New Roman" w:hAnsi="Times New Roman" w:cs="Times New Roman"/>
                <w:sz w:val="20"/>
              </w:rPr>
            </w:pPr>
            <w:r w:rsidRPr="00E64CA9">
              <w:rPr>
                <w:rFonts w:ascii="Times New Roman" w:hAnsi="Times New Roman" w:cs="Times New Roman"/>
                <w:sz w:val="20"/>
              </w:rPr>
              <w:t>При присоединении Депонента к Регламенту Брокерского обслуживания Общества  депозитарные операции по зачислению и списанию ценных бумаг по счетам депо Депонента в результате заключения Обществом (в процессе оказания брокерских услуг) сделок с ценными бумагами, а также осуществление иных действий для целей проведения расчетов по заключенным сделкам, производится на основании условного поручения Депонента, предусмотренного Приложением № 9 к Клиентскому Регламенту и расчетных инструкций по итогам совершения депонентами сделок и иных действий для целей осуществления расчетов по сделкам и/или договорам купли-продажи с ценными бумагами на торгах фондовых бирж и иных организаторов торговли на рынке ценных бумаг (в соответствии с отчетом клиринговой организации) и внебиржевом рынке, формируемых отделом учета операций с ценными бумагами (</w:t>
            </w:r>
            <w:proofErr w:type="spellStart"/>
            <w:r w:rsidRPr="00E64CA9">
              <w:rPr>
                <w:rFonts w:ascii="Times New Roman" w:hAnsi="Times New Roman" w:cs="Times New Roman"/>
                <w:sz w:val="20"/>
              </w:rPr>
              <w:t>бэк</w:t>
            </w:r>
            <w:proofErr w:type="spellEnd"/>
            <w:r w:rsidRPr="00E64CA9">
              <w:rPr>
                <w:rFonts w:ascii="Times New Roman" w:hAnsi="Times New Roman" w:cs="Times New Roman"/>
                <w:sz w:val="20"/>
              </w:rPr>
              <w:t>-офисом) Общества. Форма сводного депозитарного поручения приведена в Приложениях к настоящему Клиентскому регламенту. Сводное депозитарное поручение подписывается уполномоченным лицом (должностными лицами Депозитария, генеральным директором Общества, руководителями или уполномоченными сотрудниками соответствующих отдельных структурных подразделений Общества,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пассивного счета депо на другой пассивный счет депо внутри Депозитария также и контрагентом (или от имени  контрагента - уполномоченным им лицом).</w:t>
            </w:r>
          </w:p>
          <w:p w14:paraId="6932546E" w14:textId="77777777" w:rsidR="00E64CA9" w:rsidRPr="00E64CA9" w:rsidRDefault="00E64CA9" w:rsidP="00E64CA9">
            <w:pPr>
              <w:rPr>
                <w:rFonts w:ascii="Times New Roman" w:hAnsi="Times New Roman" w:cs="Times New Roman"/>
                <w:sz w:val="20"/>
              </w:rPr>
            </w:pPr>
          </w:p>
        </w:tc>
        <w:tc>
          <w:tcPr>
            <w:tcW w:w="4673" w:type="dxa"/>
          </w:tcPr>
          <w:p w14:paraId="4ADDEC9B" w14:textId="77777777" w:rsidR="00E64CA9" w:rsidRPr="00E64CA9" w:rsidRDefault="00E64CA9" w:rsidP="00E64CA9">
            <w:pPr>
              <w:ind w:right="49" w:firstLine="557"/>
              <w:rPr>
                <w:rFonts w:ascii="Times New Roman" w:hAnsi="Times New Roman" w:cs="Times New Roman"/>
                <w:sz w:val="20"/>
              </w:rPr>
            </w:pPr>
            <w:r w:rsidRPr="00E64CA9">
              <w:rPr>
                <w:rFonts w:ascii="Times New Roman" w:hAnsi="Times New Roman" w:cs="Times New Roman"/>
                <w:sz w:val="20"/>
              </w:rPr>
              <w:t>Депозитарий, совмещающий депозитарную и брокерскую деятельность, помимо иных документов в соответствии с настоящим Клиентским регламентом, использует в качестве основания для исполнения депозитарных операций условное поручение Депонента на осуществление операций по счетам депо при заключении Депонентом брокерского договора (далее – Условное поручение).</w:t>
            </w:r>
          </w:p>
          <w:p w14:paraId="3ECADEAF" w14:textId="77777777" w:rsidR="00E64CA9" w:rsidRPr="00E64CA9" w:rsidRDefault="00E64CA9" w:rsidP="00E64CA9">
            <w:pPr>
              <w:ind w:right="49" w:firstLine="557"/>
              <w:rPr>
                <w:rFonts w:ascii="Times New Roman" w:hAnsi="Times New Roman" w:cs="Times New Roman"/>
                <w:sz w:val="20"/>
              </w:rPr>
            </w:pPr>
            <w:r w:rsidRPr="00E64CA9">
              <w:rPr>
                <w:rFonts w:ascii="Times New Roman" w:hAnsi="Times New Roman" w:cs="Times New Roman"/>
                <w:sz w:val="20"/>
              </w:rPr>
              <w:t xml:space="preserve">При присоединении Депонента одновременно к Условиям осуществления депозитарной деятельности (Клиентскому Регламенту) и к Регламенту Брокерского обслуживания Общества основанием для проведения депозитарных операций по зачислению/списанию/переводу ценных бумаг в результате исполнения (в процессе оказания брокерских услуг) заключенных на биржевом или внебиржевом рынке сделок и/или договоров купли-продажи с ценными бумагами, а также осуществления иных действий для целей проведения расчетов по заключенным сделкам является: </w:t>
            </w:r>
          </w:p>
          <w:p w14:paraId="07CDBA64" w14:textId="77777777" w:rsidR="00E64CA9" w:rsidRPr="00E64CA9" w:rsidRDefault="00E64CA9" w:rsidP="00E64CA9">
            <w:pPr>
              <w:numPr>
                <w:ilvl w:val="0"/>
                <w:numId w:val="7"/>
              </w:numPr>
              <w:spacing w:after="14" w:line="268" w:lineRule="auto"/>
              <w:ind w:right="52"/>
              <w:contextualSpacing/>
              <w:jc w:val="both"/>
              <w:rPr>
                <w:rFonts w:ascii="Times New Roman" w:hAnsi="Times New Roman" w:cs="Times New Roman"/>
                <w:sz w:val="20"/>
              </w:rPr>
            </w:pPr>
            <w:r w:rsidRPr="00E64CA9">
              <w:rPr>
                <w:rFonts w:ascii="Times New Roman" w:hAnsi="Times New Roman" w:cs="Times New Roman"/>
                <w:sz w:val="20"/>
              </w:rPr>
              <w:t xml:space="preserve">Условное поручение Депонента, предусмотренное Приложением № 9 к Клиентскому Регламенту;  </w:t>
            </w:r>
          </w:p>
          <w:p w14:paraId="7A74477F" w14:textId="77777777" w:rsidR="00E64CA9" w:rsidRPr="00E64CA9" w:rsidRDefault="00E64CA9" w:rsidP="00E64CA9">
            <w:pPr>
              <w:numPr>
                <w:ilvl w:val="0"/>
                <w:numId w:val="7"/>
              </w:numPr>
              <w:spacing w:after="14" w:line="268" w:lineRule="auto"/>
              <w:ind w:right="52"/>
              <w:contextualSpacing/>
              <w:jc w:val="both"/>
              <w:rPr>
                <w:rFonts w:ascii="Times New Roman" w:hAnsi="Times New Roman" w:cs="Times New Roman"/>
                <w:sz w:val="20"/>
              </w:rPr>
            </w:pPr>
            <w:r w:rsidRPr="00E64CA9">
              <w:rPr>
                <w:rFonts w:ascii="Times New Roman" w:hAnsi="Times New Roman" w:cs="Times New Roman"/>
                <w:sz w:val="20"/>
              </w:rPr>
              <w:t xml:space="preserve">расчетные инструкции Брокера/служебные/сводные поручения по результатам заключенных сделок, формируемые структурным подразделением Общества, к функциям которого отнесено ведение внутреннего учета, либо по усмотрению Депозитария Поручение (Распоряжение) Депонента и или, если применимо, встречное Поручение (Распоряжение) Депонента между счетами депо Депонентов, подписанное соответственно поставщиком либо получателем ценных бумаг; </w:t>
            </w:r>
          </w:p>
          <w:p w14:paraId="59E7C3AE" w14:textId="77777777" w:rsidR="00E64CA9" w:rsidRPr="00E64CA9" w:rsidRDefault="00E64CA9" w:rsidP="00E64CA9">
            <w:pPr>
              <w:numPr>
                <w:ilvl w:val="0"/>
                <w:numId w:val="7"/>
              </w:numPr>
              <w:spacing w:after="14" w:line="268" w:lineRule="auto"/>
              <w:ind w:right="52"/>
              <w:contextualSpacing/>
              <w:jc w:val="both"/>
              <w:rPr>
                <w:rFonts w:ascii="Times New Roman" w:hAnsi="Times New Roman" w:cs="Times New Roman"/>
                <w:sz w:val="20"/>
              </w:rPr>
            </w:pPr>
            <w:r w:rsidRPr="00E64CA9">
              <w:rPr>
                <w:rFonts w:ascii="Times New Roman" w:hAnsi="Times New Roman" w:cs="Times New Roman"/>
                <w:sz w:val="20"/>
              </w:rPr>
              <w:t>распоряжение клиринговой организации в виде поручения по торговым счетам депо номинального держателя, на которых учитываются права на эти ценные бумаги, и (или) отчета клиринговой организации по итогам клиринга;</w:t>
            </w:r>
          </w:p>
          <w:p w14:paraId="2B4ABD75" w14:textId="77777777" w:rsidR="00E64CA9" w:rsidRPr="00E64CA9" w:rsidRDefault="00E64CA9" w:rsidP="00E64CA9">
            <w:pPr>
              <w:numPr>
                <w:ilvl w:val="0"/>
                <w:numId w:val="7"/>
              </w:numPr>
              <w:spacing w:after="14" w:line="268" w:lineRule="auto"/>
              <w:ind w:right="52"/>
              <w:contextualSpacing/>
              <w:jc w:val="both"/>
              <w:rPr>
                <w:rFonts w:ascii="Times New Roman" w:hAnsi="Times New Roman" w:cs="Times New Roman"/>
                <w:sz w:val="20"/>
              </w:rPr>
            </w:pPr>
            <w:r w:rsidRPr="00E64CA9">
              <w:rPr>
                <w:rFonts w:ascii="Times New Roman" w:hAnsi="Times New Roman" w:cs="Times New Roman"/>
                <w:sz w:val="20"/>
              </w:rPr>
              <w:t xml:space="preserve">распоряжение клиринговой организации в виде поручения по субсчетам депо </w:t>
            </w:r>
            <w:r w:rsidRPr="00E64CA9">
              <w:rPr>
                <w:rFonts w:ascii="Times New Roman" w:hAnsi="Times New Roman" w:cs="Times New Roman"/>
                <w:sz w:val="20"/>
              </w:rPr>
              <w:lastRenderedPageBreak/>
              <w:t>номинального держателя, на которых учитываются права на эти ценные бумаги, и (или) отчета клиринговой организации по итогам клиринга.</w:t>
            </w:r>
          </w:p>
          <w:p w14:paraId="6D5303C6" w14:textId="77777777" w:rsidR="00E64CA9" w:rsidRPr="00E64CA9" w:rsidRDefault="00E64CA9" w:rsidP="00E64CA9">
            <w:pPr>
              <w:ind w:right="49"/>
              <w:rPr>
                <w:rFonts w:ascii="Times New Roman" w:hAnsi="Times New Roman" w:cs="Times New Roman"/>
                <w:sz w:val="20"/>
              </w:rPr>
            </w:pPr>
            <w:r w:rsidRPr="00E64CA9">
              <w:rPr>
                <w:rFonts w:ascii="Times New Roman" w:hAnsi="Times New Roman" w:cs="Times New Roman"/>
                <w:sz w:val="20"/>
              </w:rPr>
              <w:t>Форма сводного депозитарного поручения приведена в Приложениях к настоящему Клиентскому регламенту (Приложение 9). Сводное депозитарное поручение подписывается уполномоченным лицом (должностными лицами Депозитария, генеральным директором Общества, руководителями или уполномоченными сотрудниками соответствующих отдельных структурных подразделений Общества,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пассивного счета депо на другой пассивный счет депо внутри Депозитария также и контрагентом (или от имени  контрагента - уполномоченным им лицом).</w:t>
            </w:r>
          </w:p>
          <w:p w14:paraId="24C4ADB4" w14:textId="77777777" w:rsidR="00E64CA9" w:rsidRPr="00E64CA9" w:rsidRDefault="00E64CA9" w:rsidP="00E64CA9">
            <w:pPr>
              <w:rPr>
                <w:rFonts w:ascii="Times New Roman" w:hAnsi="Times New Roman" w:cs="Times New Roman"/>
                <w:sz w:val="20"/>
              </w:rPr>
            </w:pPr>
          </w:p>
        </w:tc>
      </w:tr>
    </w:tbl>
    <w:p w14:paraId="636A1AF3" w14:textId="77777777" w:rsidR="00E64CA9" w:rsidRDefault="00E64CA9" w:rsidP="0021015E">
      <w:pPr>
        <w:pStyle w:val="a3"/>
        <w:shd w:val="clear" w:color="auto" w:fill="FFFFFF"/>
        <w:spacing w:before="120" w:beforeAutospacing="0" w:after="120" w:afterAutospacing="0"/>
        <w:contextualSpacing/>
        <w:jc w:val="both"/>
        <w:rPr>
          <w:b/>
          <w:color w:val="1F1F21"/>
          <w:u w:val="single"/>
        </w:rPr>
      </w:pPr>
    </w:p>
    <w:sectPr w:rsidR="00E64CA9" w:rsidSect="008E7CE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BE1"/>
    <w:multiLevelType w:val="multilevel"/>
    <w:tmpl w:val="EC8A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7762"/>
    <w:multiLevelType w:val="hybridMultilevel"/>
    <w:tmpl w:val="3ECC8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B5AB3"/>
    <w:multiLevelType w:val="hybridMultilevel"/>
    <w:tmpl w:val="60C0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4E4C00"/>
    <w:multiLevelType w:val="hybridMultilevel"/>
    <w:tmpl w:val="60C01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B160B"/>
    <w:multiLevelType w:val="hybridMultilevel"/>
    <w:tmpl w:val="38300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A35773"/>
    <w:multiLevelType w:val="hybridMultilevel"/>
    <w:tmpl w:val="C896DCE8"/>
    <w:lvl w:ilvl="0" w:tplc="C91CCB5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4991855"/>
    <w:multiLevelType w:val="multilevel"/>
    <w:tmpl w:val="33F6C8F8"/>
    <w:lvl w:ilvl="0">
      <w:start w:val="1"/>
      <w:numFmt w:val="decimal"/>
      <w:lvlText w:val="%1."/>
      <w:lvlJc w:val="right"/>
      <w:pPr>
        <w:ind w:left="425" w:hanging="708"/>
      </w:pPr>
      <w:rPr>
        <w:rFonts w:ascii="Times New Roman" w:eastAsia="Times New Roman" w:hAnsi="Times New Roman" w:cs="Times New Roman"/>
        <w:b/>
        <w:sz w:val="22"/>
        <w:szCs w:val="22"/>
        <w:u w:val="none"/>
      </w:rPr>
    </w:lvl>
    <w:lvl w:ilvl="1">
      <w:start w:val="1"/>
      <w:numFmt w:val="decimal"/>
      <w:lvlText w:val="%1.%2."/>
      <w:lvlJc w:val="right"/>
      <w:pPr>
        <w:ind w:left="420" w:hanging="840"/>
      </w:pPr>
      <w:rPr>
        <w:rFonts w:ascii="Times New Roman" w:eastAsia="Times New Roman" w:hAnsi="Times New Roman" w:cs="Times New Roman"/>
        <w:b w:val="0"/>
        <w:sz w:val="22"/>
        <w:szCs w:val="22"/>
      </w:rPr>
    </w:lvl>
    <w:lvl w:ilvl="2">
      <w:start w:val="1"/>
      <w:numFmt w:val="bullet"/>
      <w:lvlText w:val=""/>
      <w:lvlJc w:val="left"/>
      <w:pPr>
        <w:ind w:left="786" w:hanging="360"/>
      </w:pPr>
      <w:rPr>
        <w:rFonts w:ascii="Symbol" w:hAnsi="Symbol" w:hint="default"/>
      </w:rPr>
    </w:lvl>
    <w:lvl w:ilvl="3">
      <w:start w:val="1"/>
      <w:numFmt w:val="decimal"/>
      <w:lvlText w:val="%1.%2.%3.%4."/>
      <w:lvlJc w:val="right"/>
      <w:pPr>
        <w:ind w:left="1080" w:hanging="720"/>
      </w:pPr>
    </w:lvl>
    <w:lvl w:ilvl="4">
      <w:start w:val="1"/>
      <w:numFmt w:val="decimal"/>
      <w:lvlText w:val="%1.%2.%3.%4.%5."/>
      <w:lvlJc w:val="right"/>
      <w:pPr>
        <w:ind w:left="1440" w:hanging="1080"/>
      </w:pPr>
    </w:lvl>
    <w:lvl w:ilvl="5">
      <w:start w:val="1"/>
      <w:numFmt w:val="decimal"/>
      <w:lvlText w:val="%1.%2.%3.%4.%5.%6."/>
      <w:lvlJc w:val="right"/>
      <w:pPr>
        <w:ind w:left="1440" w:hanging="1080"/>
      </w:p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FF"/>
    <w:rsid w:val="000061B9"/>
    <w:rsid w:val="000116E7"/>
    <w:rsid w:val="00043B4F"/>
    <w:rsid w:val="000E1661"/>
    <w:rsid w:val="0010749E"/>
    <w:rsid w:val="00161ED4"/>
    <w:rsid w:val="0021015E"/>
    <w:rsid w:val="0025407D"/>
    <w:rsid w:val="002E6341"/>
    <w:rsid w:val="00351B36"/>
    <w:rsid w:val="00387E74"/>
    <w:rsid w:val="00394D4B"/>
    <w:rsid w:val="00454399"/>
    <w:rsid w:val="005E59E0"/>
    <w:rsid w:val="007766B7"/>
    <w:rsid w:val="007C363A"/>
    <w:rsid w:val="00872444"/>
    <w:rsid w:val="00882389"/>
    <w:rsid w:val="008E7CE3"/>
    <w:rsid w:val="00934512"/>
    <w:rsid w:val="00A14A05"/>
    <w:rsid w:val="00A868F3"/>
    <w:rsid w:val="00A91C91"/>
    <w:rsid w:val="00AC48D9"/>
    <w:rsid w:val="00AE470B"/>
    <w:rsid w:val="00B03084"/>
    <w:rsid w:val="00B703AE"/>
    <w:rsid w:val="00B84E7C"/>
    <w:rsid w:val="00C13BFF"/>
    <w:rsid w:val="00C92413"/>
    <w:rsid w:val="00CB4B13"/>
    <w:rsid w:val="00CC644E"/>
    <w:rsid w:val="00E2418F"/>
    <w:rsid w:val="00E64CA9"/>
    <w:rsid w:val="00EA7D0D"/>
    <w:rsid w:val="00EE2BF6"/>
    <w:rsid w:val="00F01001"/>
    <w:rsid w:val="00FA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9241"/>
  <w15:chartTrackingRefBased/>
  <w15:docId w15:val="{328C8D8D-83D1-4AED-A4A9-0365E117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1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1C91"/>
    <w:rPr>
      <w:color w:val="0000FF"/>
      <w:u w:val="single"/>
    </w:rPr>
  </w:style>
  <w:style w:type="paragraph" w:styleId="a5">
    <w:name w:val="List Paragraph"/>
    <w:basedOn w:val="a"/>
    <w:link w:val="a6"/>
    <w:uiPriority w:val="1"/>
    <w:qFormat/>
    <w:rsid w:val="0021015E"/>
    <w:pPr>
      <w:suppressAutoHyphens/>
      <w:spacing w:after="0"/>
      <w:ind w:left="720"/>
      <w:contextualSpacing/>
      <w:jc w:val="both"/>
    </w:pPr>
    <w:rPr>
      <w:rFonts w:ascii="Times New Roman" w:eastAsia="Times New Roman" w:hAnsi="Times New Roman" w:cs="Times New Roman"/>
      <w:color w:val="00000A"/>
      <w:lang w:eastAsia="ru-RU"/>
    </w:rPr>
  </w:style>
  <w:style w:type="character" w:customStyle="1" w:styleId="a6">
    <w:name w:val="Абзац списка Знак"/>
    <w:basedOn w:val="a0"/>
    <w:link w:val="a5"/>
    <w:uiPriority w:val="1"/>
    <w:rsid w:val="0021015E"/>
    <w:rPr>
      <w:rFonts w:ascii="Times New Roman" w:eastAsia="Times New Roman" w:hAnsi="Times New Roman" w:cs="Times New Roman"/>
      <w:color w:val="00000A"/>
      <w:lang w:eastAsia="ru-RU"/>
    </w:rPr>
  </w:style>
  <w:style w:type="table" w:styleId="a7">
    <w:name w:val="Table Grid"/>
    <w:basedOn w:val="a1"/>
    <w:uiPriority w:val="39"/>
    <w:rsid w:val="00E6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7193">
      <w:bodyDiv w:val="1"/>
      <w:marLeft w:val="0"/>
      <w:marRight w:val="0"/>
      <w:marTop w:val="0"/>
      <w:marBottom w:val="0"/>
      <w:divBdr>
        <w:top w:val="none" w:sz="0" w:space="0" w:color="auto"/>
        <w:left w:val="none" w:sz="0" w:space="0" w:color="auto"/>
        <w:bottom w:val="none" w:sz="0" w:space="0" w:color="auto"/>
        <w:right w:val="none" w:sz="0" w:space="0" w:color="auto"/>
      </w:divBdr>
    </w:div>
    <w:div w:id="707877088">
      <w:bodyDiv w:val="1"/>
      <w:marLeft w:val="0"/>
      <w:marRight w:val="0"/>
      <w:marTop w:val="0"/>
      <w:marBottom w:val="0"/>
      <w:divBdr>
        <w:top w:val="none" w:sz="0" w:space="0" w:color="auto"/>
        <w:left w:val="none" w:sz="0" w:space="0" w:color="auto"/>
        <w:bottom w:val="none" w:sz="0" w:space="0" w:color="auto"/>
        <w:right w:val="none" w:sz="0" w:space="0" w:color="auto"/>
      </w:divBdr>
    </w:div>
    <w:div w:id="1279096145">
      <w:bodyDiv w:val="1"/>
      <w:marLeft w:val="0"/>
      <w:marRight w:val="0"/>
      <w:marTop w:val="0"/>
      <w:marBottom w:val="0"/>
      <w:divBdr>
        <w:top w:val="none" w:sz="0" w:space="0" w:color="auto"/>
        <w:left w:val="none" w:sz="0" w:space="0" w:color="auto"/>
        <w:bottom w:val="none" w:sz="0" w:space="0" w:color="auto"/>
        <w:right w:val="none" w:sz="0" w:space="0" w:color="auto"/>
      </w:divBdr>
    </w:div>
    <w:div w:id="13921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Суханова Надежда Константиновна</dc:creator>
  <cp:keywords/>
  <dc:description/>
  <cp:lastModifiedBy>Суханова Надежда Константиновна</cp:lastModifiedBy>
  <cp:revision>2</cp:revision>
  <dcterms:created xsi:type="dcterms:W3CDTF">2025-11-14T07:45:00Z</dcterms:created>
  <dcterms:modified xsi:type="dcterms:W3CDTF">2025-11-14T07:45:00Z</dcterms:modified>
</cp:coreProperties>
</file>